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560" w:lineRule="exact"/>
        <w:jc w:val="center"/>
        <w:rPr>
          <w:rFonts w:ascii="黑体" w:hAnsi="黑体" w:eastAsia="黑体" w:cs="黑体"/>
          <w:color w:val="auto"/>
          <w:sz w:val="36"/>
          <w:szCs w:val="36"/>
        </w:rPr>
      </w:pPr>
      <w:r>
        <w:rPr>
          <w:rFonts w:hint="eastAsia" w:ascii="黑体" w:hAnsi="黑体" w:eastAsia="黑体" w:cs="黑体"/>
          <w:color w:val="auto"/>
          <w:sz w:val="36"/>
          <w:szCs w:val="36"/>
        </w:rPr>
        <w:t>张家口职业技术学院</w:t>
      </w:r>
    </w:p>
    <w:p>
      <w:pPr>
        <w:adjustRightInd w:val="0"/>
        <w:spacing w:line="560" w:lineRule="exact"/>
        <w:jc w:val="center"/>
        <w:rPr>
          <w:rFonts w:ascii="黑体" w:hAnsi="黑体" w:eastAsia="黑体" w:cs="黑体"/>
          <w:color w:val="auto"/>
          <w:sz w:val="36"/>
          <w:szCs w:val="36"/>
        </w:rPr>
      </w:pPr>
      <w:r>
        <w:rPr>
          <w:rFonts w:hint="eastAsia" w:ascii="黑体" w:hAnsi="黑体" w:eastAsia="黑体" w:cs="黑体"/>
          <w:color w:val="auto"/>
          <w:sz w:val="36"/>
          <w:szCs w:val="36"/>
        </w:rPr>
        <w:t>教学事故认定及处理办法</w:t>
      </w: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(试行)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after="157" w:afterLines="50" w:line="500" w:lineRule="exact"/>
        <w:jc w:val="center"/>
        <w:textAlignment w:val="auto"/>
        <w:rPr>
          <w:rFonts w:hint="eastAsia" w:ascii="宋体" w:hAnsi="宋体" w:eastAsia="宋体" w:cs="宋体"/>
          <w:color w:val="000000"/>
          <w:sz w:val="28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4"/>
        </w:rPr>
        <w:t>张职院教字[2019] 号</w:t>
      </w:r>
      <w:r>
        <w:rPr>
          <w:rFonts w:hint="eastAsia" w:ascii="宋体" w:hAnsi="宋体" w:eastAsia="宋体" w:cs="宋体"/>
          <w:color w:val="000000"/>
          <w:sz w:val="28"/>
          <w:szCs w:val="24"/>
          <w:lang w:val="en-US" w:eastAsia="zh-CN"/>
        </w:rPr>
        <w:t>（讨论稿）</w:t>
      </w:r>
    </w:p>
    <w:p>
      <w:pPr>
        <w:adjustRightInd w:val="0"/>
        <w:spacing w:line="500" w:lineRule="exact"/>
        <w:ind w:firstLine="562" w:firstLineChars="200"/>
        <w:jc w:val="center"/>
        <w:textAlignment w:val="baseline"/>
        <w:rPr>
          <w:rFonts w:asciiTheme="minorEastAsia" w:hAnsiTheme="minorEastAsia" w:eastAsiaTheme="minorEastAsia" w:cstheme="minorEastAsia"/>
          <w:b/>
          <w:color w:val="auto"/>
          <w:kern w:val="0"/>
          <w:sz w:val="28"/>
          <w:szCs w:val="28"/>
        </w:rPr>
      </w:pPr>
      <w:r>
        <w:rPr>
          <w:rFonts w:asciiTheme="minorEastAsia" w:hAnsiTheme="minorEastAsia" w:eastAsiaTheme="minorEastAsia" w:cstheme="minorEastAsia"/>
          <w:b/>
          <w:color w:val="auto"/>
          <w:kern w:val="0"/>
          <w:sz w:val="28"/>
          <w:szCs w:val="28"/>
        </w:rPr>
        <w:t>第一章  总  则</w:t>
      </w:r>
    </w:p>
    <w:p>
      <w:pPr>
        <w:adjustRightInd w:val="0"/>
        <w:spacing w:line="500" w:lineRule="exact"/>
        <w:ind w:firstLine="562" w:firstLineChars="200"/>
        <w:textAlignment w:val="baseline"/>
        <w:rPr>
          <w:rFonts w:asciiTheme="minorEastAsia" w:hAnsiTheme="minorEastAsia" w:eastAsiaTheme="minorEastAsia" w:cstheme="minorEastAsia"/>
          <w:color w:val="auto"/>
          <w:kern w:val="0"/>
          <w:sz w:val="28"/>
          <w:szCs w:val="28"/>
        </w:rPr>
      </w:pPr>
      <w:r>
        <w:rPr>
          <w:rFonts w:asciiTheme="minorEastAsia" w:hAnsiTheme="minorEastAsia" w:eastAsiaTheme="minorEastAsia" w:cstheme="minorEastAsia"/>
          <w:b/>
          <w:color w:val="auto"/>
          <w:kern w:val="0"/>
          <w:sz w:val="28"/>
          <w:szCs w:val="28"/>
        </w:rPr>
        <w:t>第一条</w:t>
      </w:r>
      <w:r>
        <w:rPr>
          <w:rFonts w:hint="eastAsia" w:asciiTheme="minorEastAsia" w:hAnsiTheme="minorEastAsia" w:eastAsiaTheme="minorEastAsia" w:cstheme="minorEastAsia"/>
          <w:color w:val="auto"/>
          <w:kern w:val="0"/>
          <w:sz w:val="28"/>
          <w:szCs w:val="28"/>
        </w:rPr>
        <w:t xml:space="preserve">  为确保教学秩序，严肃教学纪律，强化教学管理，预防和及时处理教学过程中的各种事故，</w:t>
      </w:r>
      <w:r>
        <w:rPr>
          <w:rFonts w:asciiTheme="minorEastAsia" w:hAnsiTheme="minorEastAsia" w:eastAsiaTheme="minorEastAsia" w:cstheme="minorEastAsia"/>
          <w:color w:val="auto"/>
          <w:kern w:val="0"/>
          <w:sz w:val="28"/>
          <w:szCs w:val="28"/>
        </w:rPr>
        <w:t>提高教育</w:t>
      </w:r>
      <w:r>
        <w:rPr>
          <w:rFonts w:hint="eastAsia" w:asciiTheme="minorEastAsia" w:hAnsiTheme="minorEastAsia" w:eastAsiaTheme="minorEastAsia" w:cstheme="minorEastAsia"/>
          <w:color w:val="auto"/>
          <w:kern w:val="0"/>
          <w:sz w:val="28"/>
          <w:szCs w:val="28"/>
        </w:rPr>
        <w:t>教</w:t>
      </w:r>
      <w:r>
        <w:rPr>
          <w:rFonts w:asciiTheme="minorEastAsia" w:hAnsiTheme="minorEastAsia" w:eastAsiaTheme="minorEastAsia" w:cstheme="minorEastAsia"/>
          <w:color w:val="auto"/>
          <w:kern w:val="0"/>
          <w:sz w:val="28"/>
          <w:szCs w:val="28"/>
        </w:rPr>
        <w:t>学质量</w:t>
      </w:r>
      <w:r>
        <w:rPr>
          <w:rFonts w:hint="eastAsia" w:asciiTheme="minorEastAsia" w:hAnsiTheme="minorEastAsia" w:eastAsiaTheme="minorEastAsia" w:cstheme="minorEastAsia"/>
          <w:color w:val="auto"/>
          <w:kern w:val="0"/>
          <w:sz w:val="28"/>
          <w:szCs w:val="28"/>
        </w:rPr>
        <w:t>，特制定本暂行办法。</w:t>
      </w:r>
    </w:p>
    <w:p>
      <w:pPr>
        <w:adjustRightInd w:val="0"/>
        <w:spacing w:line="500" w:lineRule="exact"/>
        <w:ind w:firstLine="562" w:firstLineChars="200"/>
        <w:textAlignment w:val="baseline"/>
        <w:rPr>
          <w:rFonts w:asciiTheme="minorEastAsia" w:hAnsiTheme="minorEastAsia" w:eastAsiaTheme="minorEastAsia" w:cstheme="minorEastAsia"/>
          <w:color w:val="auto"/>
          <w:kern w:val="0"/>
          <w:sz w:val="28"/>
          <w:szCs w:val="28"/>
        </w:rPr>
      </w:pPr>
      <w:r>
        <w:rPr>
          <w:rFonts w:asciiTheme="minorEastAsia" w:hAnsiTheme="minorEastAsia" w:eastAsiaTheme="minorEastAsia" w:cstheme="minorEastAsia"/>
          <w:b/>
          <w:color w:val="auto"/>
          <w:kern w:val="0"/>
          <w:sz w:val="28"/>
          <w:szCs w:val="28"/>
        </w:rPr>
        <w:t>第二条</w:t>
      </w:r>
      <w:r>
        <w:rPr>
          <w:rFonts w:asciiTheme="minorEastAsia" w:hAnsiTheme="minorEastAsia" w:eastAsiaTheme="minorEastAsia" w:cstheme="minorEastAsia"/>
          <w:color w:val="auto"/>
          <w:kern w:val="0"/>
          <w:sz w:val="28"/>
          <w:szCs w:val="28"/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auto"/>
          <w:kern w:val="0"/>
          <w:sz w:val="28"/>
          <w:szCs w:val="28"/>
        </w:rPr>
        <w:t xml:space="preserve"> 各教学部门应加强思想政治教育和管理规范教育，全体教师和教学管理人员要增强教学意识，树立爱岗敬业精神，认真履行职责，自觉遵守学院各项教育教学规章制度，以预防为主，减少差错，避免发生教学事故。</w:t>
      </w:r>
    </w:p>
    <w:p>
      <w:pPr>
        <w:adjustRightInd w:val="0"/>
        <w:spacing w:line="500" w:lineRule="exact"/>
        <w:ind w:firstLine="562" w:firstLineChars="200"/>
        <w:textAlignment w:val="baseline"/>
        <w:rPr>
          <w:rFonts w:asciiTheme="minorEastAsia" w:hAnsiTheme="minorEastAsia" w:eastAsiaTheme="minorEastAsia" w:cstheme="minorEastAsia"/>
          <w:b/>
          <w:color w:val="auto"/>
          <w:kern w:val="0"/>
          <w:sz w:val="28"/>
          <w:szCs w:val="28"/>
        </w:rPr>
      </w:pPr>
      <w:r>
        <w:rPr>
          <w:rFonts w:asciiTheme="minorEastAsia" w:hAnsiTheme="minorEastAsia" w:eastAsiaTheme="minorEastAsia" w:cstheme="minorEastAsia"/>
          <w:b/>
          <w:color w:val="auto"/>
          <w:kern w:val="0"/>
          <w:sz w:val="28"/>
          <w:szCs w:val="28"/>
        </w:rPr>
        <w:t xml:space="preserve">第三条 </w:t>
      </w:r>
      <w:r>
        <w:rPr>
          <w:rFonts w:hint="eastAsia" w:asciiTheme="minorEastAsia" w:hAnsiTheme="minorEastAsia" w:eastAsiaTheme="minorEastAsia" w:cstheme="minorEastAsia"/>
          <w:b/>
          <w:color w:val="auto"/>
          <w:kern w:val="0"/>
          <w:sz w:val="28"/>
          <w:szCs w:val="28"/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auto"/>
          <w:kern w:val="0"/>
          <w:sz w:val="28"/>
          <w:szCs w:val="28"/>
        </w:rPr>
        <w:t>学院各教学部门及人员，在教学和教学管理工作中不履行岗位职责，不遵守教学管理规章制度，出现教学事故的，学院给予批评教育直至行政处分，并作为教学质量评定、年度考核和职称（务）评聘的依据之一。</w:t>
      </w:r>
    </w:p>
    <w:p>
      <w:pPr>
        <w:widowControl/>
        <w:spacing w:line="500" w:lineRule="exact"/>
        <w:ind w:firstLine="200"/>
        <w:jc w:val="center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第二章  教学事故的认定</w:t>
      </w:r>
    </w:p>
    <w:p>
      <w:pPr>
        <w:widowControl/>
        <w:spacing w:line="500" w:lineRule="exact"/>
        <w:ind w:firstLine="562" w:firstLineChars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第四条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 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>教学事故是指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由教学人员（含任课教师、教学辅助人员、教学管理人员、教学服务人员等）违反教学管理规定，在所承担的教学活动和相关工作中出现失误，导致教学活动受到影响、并造成不良后果的行为或事件。</w:t>
      </w:r>
    </w:p>
    <w:p>
      <w:pPr>
        <w:widowControl/>
        <w:spacing w:line="500" w:lineRule="exact"/>
        <w:ind w:firstLine="560" w:firstLineChars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教学事故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>根据发生的情节、造成的损失和产生的后果等情况分为：一般教学事故、严重教学事故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、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>重大教学事故。</w:t>
      </w:r>
    </w:p>
    <w:p>
      <w:pPr>
        <w:widowControl/>
        <w:spacing w:line="500" w:lineRule="exact"/>
        <w:ind w:firstLine="560" w:firstLineChars="200"/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本认定范围包括课堂教学类、实践教学类、、教学管理类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、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考试类、成绩类等五类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。</w:t>
      </w:r>
    </w:p>
    <w:p>
      <w:pPr>
        <w:widowControl/>
        <w:spacing w:line="500" w:lineRule="exact"/>
        <w:ind w:firstLine="562" w:firstLineChars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第五条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凡属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>下列情况之一，为一般教学事故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.因非不可避免因素上课或监考迟到、中途离岗及提前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Cs/>
          <w:color w:val="auto"/>
          <w:kern w:val="0"/>
          <w:sz w:val="28"/>
          <w:szCs w:val="28"/>
        </w:rPr>
        <w:t>~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10分钟。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2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.备课不充分，无教案，课程内容和范围偏离教学大纲。</w:t>
      </w:r>
    </w:p>
    <w:p>
      <w:pPr>
        <w:spacing w:line="500" w:lineRule="exact"/>
        <w:ind w:firstLine="546" w:firstLineChars="195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3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.未经学生所在系部和教务处同意，不按教学计划擅自提前结束课程或改变教学内容。</w:t>
      </w:r>
    </w:p>
    <w:p>
      <w:pPr>
        <w:spacing w:line="500" w:lineRule="exact"/>
        <w:ind w:firstLine="546" w:firstLineChars="195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4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.教师上课使用手机接打电话、收发微信，或有其它与授课无关的行为。</w:t>
      </w:r>
    </w:p>
    <w:p>
      <w:pPr>
        <w:spacing w:line="500" w:lineRule="exact"/>
        <w:ind w:firstLine="546" w:firstLineChars="195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5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.因实践课准备不充分，致使课程不能正常进行达10分钟及以上。</w:t>
      </w:r>
    </w:p>
    <w:p>
      <w:pPr>
        <w:spacing w:line="500" w:lineRule="exact"/>
        <w:ind w:firstLine="546" w:firstLineChars="195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6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.考试命题人员不按规定时间同时提交A、B两种试卷、标准答案、评分标准，或者提供的两套试卷试题重复程度在30%以上。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7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.监考时处理与监考无关的事务；因监考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人员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失职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,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造成考场秩序混乱。</w:t>
      </w:r>
    </w:p>
    <w:p>
      <w:pPr>
        <w:spacing w:line="500" w:lineRule="exact"/>
        <w:ind w:firstLine="560" w:firstLineChars="200"/>
        <w:jc w:val="left"/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8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.因未准备好试卷、未组织好考场等原因，导致整场考试延误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Cs/>
          <w:color w:val="auto"/>
          <w:kern w:val="0"/>
          <w:sz w:val="28"/>
          <w:szCs w:val="28"/>
        </w:rPr>
        <w:t>~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10分钟。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9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.考试（包括补、缓考）因辅导员不及时准确通知学生，导致学生未按规定时间参加考试。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0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.结束考试后收回的试卷数发生短缺与实际参加考试人数不符。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.因教师阅卷不认真，导致卷面错误累计10</w:t>
      </w:r>
      <w:r>
        <w:rPr>
          <w:rFonts w:hint="eastAsia" w:ascii="微软雅黑" w:hAnsi="微软雅黑" w:eastAsia="微软雅黑" w:cs="微软雅黑"/>
          <w:bCs/>
          <w:color w:val="auto"/>
          <w:kern w:val="0"/>
          <w:sz w:val="28"/>
          <w:szCs w:val="28"/>
        </w:rPr>
        <w:t>~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20分或错批学生卷面成绩达10</w:t>
      </w:r>
      <w:r>
        <w:rPr>
          <w:rFonts w:hint="eastAsia" w:ascii="微软雅黑" w:hAnsi="微软雅黑" w:eastAsia="微软雅黑" w:cs="微软雅黑"/>
          <w:bCs/>
          <w:color w:val="auto"/>
          <w:kern w:val="0"/>
          <w:sz w:val="28"/>
          <w:szCs w:val="28"/>
        </w:rPr>
        <w:t>~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20分。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2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.教师不按规定时间完成阅卷、报送成绩及有关材料。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3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.教师不按规定的评分标准评定学生成绩，存在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严重偏差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4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.教师不认真核对网上录入成绩，致使学生成绩录入错误3人次及以上。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15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.无特殊原因，不按规定时间上交学生成绩。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16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.教师已事先书面向系部请假，而批准者未及时通知学生，致使学生空等15分钟以上。</w:t>
      </w:r>
    </w:p>
    <w:p>
      <w:pPr>
        <w:spacing w:line="500" w:lineRule="exact"/>
        <w:ind w:firstLine="560" w:firstLineChars="200"/>
        <w:jc w:val="left"/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17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.排课或排考场时发生教室使用冲突，造成授课和考试不能正常进行，又没有采取措施及时予以更正（第一周为试运行，除外）。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18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.临时性安排全院性活动，主办人因未及时安排调度或系部未及时通知师生，致使教学秩序混乱。</w:t>
      </w:r>
    </w:p>
    <w:p>
      <w:pPr>
        <w:spacing w:line="500" w:lineRule="exact"/>
        <w:ind w:firstLine="560" w:firstLineChars="200"/>
        <w:jc w:val="left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19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.因教师或系部未按时上报征订教材或教材管理人员未按时预订教材，致使学生在开课2周以上未领到教材。</w:t>
      </w:r>
    </w:p>
    <w:p>
      <w:pPr>
        <w:widowControl/>
        <w:spacing w:line="500" w:lineRule="exact"/>
        <w:ind w:firstLine="562" w:firstLineChars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第六条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凡属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>下列情况之一，为严重教学事故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1.教师未经批准一学期累计缺课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bCs/>
          <w:color w:val="auto"/>
          <w:kern w:val="0"/>
          <w:sz w:val="28"/>
          <w:szCs w:val="28"/>
          <w:lang w:val="en-US" w:eastAsia="zh-CN"/>
        </w:rPr>
        <w:t>~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6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课时。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2.教师未经批准，整个学期完成教学内容不足授课计划的80％。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3.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未经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审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批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，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擅自更改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授课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计划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4.非特殊原因，教学进度与授课计划相差达10学时。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5.教师在授课过程中无教案或有明显的不备课现象。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6.教师酒后上课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或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上课时用不文明语言或行为贬损、侮辱学生，造成不良影响。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7.无正当理由拒绝承担部门安排的教学任务。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8.未经审批，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擅自调课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、停课、请人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代课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；无故旷监。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9.因非不可避免因素上课或监考迟到、中途离岗或提前10分钟以上。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10.因教学人员实践操作准备失误致使实践操作无法进行或延迟达20分钟以上。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11.实践教师错误指导或擅离岗位，造成公私财产损失或学生受伤。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12.监考时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擅离岗位，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或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不负责任，对作弊现象不制止、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不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上报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13.因未准备好试卷、未组织好考场等原因，导致整场考试延误10分钟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以上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14.考务人员在考试时未准备好试卷，致使考试无法进行。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15.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监考人员漏收考生考卷或遗失学生考卷，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或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阅卷教师丢失学生试卷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，或者随意更改学生成绩。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6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.因监考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人员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失职，造成考场秩序混乱或考场20%及以上考生作弊。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eastAsia="zh-CN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7.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监考中不负责任，对学生答题进行暗示、提示，或用其他方式告诉答案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18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.教师接受学生的请吃送礼，以此在学生成绩等方面弄虚作假。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19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.因教师阅卷不认真，导致卷面错误累计20分以上或错批学生卷面成绩达20分以上。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2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0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.因工作疏忽造成试卷印刷、传递、保管过程中泄密。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2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一学期发生一般教学事故达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3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次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及以上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widowControl/>
        <w:spacing w:line="500" w:lineRule="exact"/>
        <w:ind w:firstLine="562" w:firstLineChars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七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凡属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>下列情况之一，为重大教学事故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1.教学人员在教学过程中传播违反国家法律的内容；在教学过程中有损害学校声誉的言论并造成不良影响。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2.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擅自更改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或不执行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教学计划，致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使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教学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任务不能落实，严重影响正常教学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秩序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3.教学人员未经批准一学期累计缺课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7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课时及以上。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4.因教学人员擅自离岗，造成重大财产损失或学生严重受伤，造成恶劣影响。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5.实践课准备不充分或指导不负责任，造成仪器设备严重损坏或严重人身安全事故。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6.指导校外实践时不负责任，造成学校声誉受到严重损害。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7.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怂恿、帮助学生作弊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，或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泄露考试内容，导致考试无效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8.命题人员及涉密人员在命题、试卷印刷、传送、保管过程中泄露考试内容，并造成严重后果。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9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.教师或管理人员丢失学生试卷、考试成绩、毕业论文、实习任务书等，并造成严重后果。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0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.全国、全省有关统一考试时，监考人员不按时到位，不遵守监考守则，造成不良影响。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.教学事故有意隐瞒或对事故调查工作不予配合，或者态度恶劣，拒不检讨错误无理取闹。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2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一学期发生严重教学事故达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3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次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eastAsia="zh-CN"/>
        </w:rPr>
        <w:t>及以上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widowControl/>
        <w:spacing w:line="500" w:lineRule="exact"/>
        <w:ind w:firstLine="200"/>
        <w:jc w:val="center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三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章  教学事故的认定</w:t>
      </w:r>
    </w:p>
    <w:p>
      <w:pPr>
        <w:adjustRightInd w:val="0"/>
        <w:spacing w:line="500" w:lineRule="exact"/>
        <w:ind w:left="425" w:firstLine="200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八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 xml:space="preserve">条 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 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教学事故的处理办法。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1.一般教学事故的处理：扣发责任人本学期校内绩效5%；责任人本年度考核不得为优秀；在本部门范围内作出书面检查；在教务处备案。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2.严重教学事故的处理：扣发责任人本学期校内绩效15%；取消责任人本年度评优、下年度职称申报资格；处理结果在全院通报批评；在人事处、教务处备案。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3.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重大教学事故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的处理：扣发责任人本学期校内绩效30%；责任人本年度考核为基本称职或以下；给予行政严重警告或以上处分；处理结果在全院通报批评；在人事处、教务处备案。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4.教学事故处理实行首次警告办法。即：给予本学年内首次发生一般教学事故的教职工在本部门通报批评（或警告），暂不作为教学事故认定和处理；给予首次发生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eastAsia="zh-CN"/>
        </w:rPr>
        <w:t>严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重教学事故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的教职工降级（降为一般教学事故）认定和处理；若本学年内再次发生教学事故，将对照本教学事故认定及处理暂行办法严格处理。</w:t>
      </w:r>
    </w:p>
    <w:p>
      <w:pPr>
        <w:adjustRightInd w:val="0"/>
        <w:spacing w:line="500" w:lineRule="exact"/>
        <w:ind w:left="425" w:firstLine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九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教学事故的认定程序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1.一旦发生教学事故，责任人或现场相关人员可通过书面、电话等方式报告教务处。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并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积极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配合有关部门采取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相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eastAsia="zh-CN"/>
        </w:rPr>
        <w:t>应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措施，尽量减少事故造成的损失和影响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2.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教务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处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接到事故报告后，立即通知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事故责任人所在教学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部门进行调查，填写“教学事故调查认定处理表”，并于三天内上报教务处。事故调查认定表中必须明确事故责任人，并附相关当事人、责任人或知情人的书面材料。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3.一般教学事故由事故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责任人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所在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教学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部门主管领导组织认定；严重教学事故报教务处，由教务处长组织认定；重大教学事故报分管教学院长组织认定。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4.一般教学事故由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事故所在部门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处理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；严重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eastAsia="zh-CN"/>
        </w:rPr>
        <w:t>、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重大教学事故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由学院做出处理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5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教学事故经核实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认定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后，由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教务处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签发“教学事故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通知单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”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eastAsia="zh-CN"/>
        </w:rPr>
        <w:t>，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送至事故责任人所在部门，由部门发放给事故责任人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6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.重大、严重教学事故处理结果，经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学院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同意后，向全院通报。</w:t>
      </w:r>
    </w:p>
    <w:p>
      <w:pPr>
        <w:adjustRightInd w:val="0"/>
        <w:spacing w:line="500" w:lineRule="exact"/>
        <w:ind w:firstLine="562" w:firstLineChars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十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教学事故的申诉与仲裁</w:t>
      </w:r>
    </w:p>
    <w:p>
      <w:pPr>
        <w:spacing w:line="500" w:lineRule="exact"/>
        <w:ind w:firstLine="546" w:firstLineChars="195"/>
        <w:jc w:val="left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对教学事故认定及处理有异议的当事人，可在接到《</w:t>
      </w:r>
      <w:r>
        <w:rPr>
          <w:rFonts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教学事故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通知单》之日起10日内，向教务处提出申诉，由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教务处、人事处、事故责任人所在部门等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集体研究后给予仲裁及回复。</w:t>
      </w:r>
    </w:p>
    <w:p>
      <w:pPr>
        <w:widowControl/>
        <w:spacing w:line="500" w:lineRule="exact"/>
        <w:ind w:firstLine="200"/>
        <w:jc w:val="center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四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 xml:space="preserve">章  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附则</w:t>
      </w:r>
    </w:p>
    <w:p>
      <w:pPr>
        <w:adjustRightInd w:val="0"/>
        <w:spacing w:line="500" w:lineRule="exact"/>
        <w:ind w:firstLine="562" w:firstLineChars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十一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因不可避免因素所造成的教学事故，根据具体情况减轻或免除责任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>。</w:t>
      </w:r>
    </w:p>
    <w:p>
      <w:pPr>
        <w:adjustRightInd w:val="0"/>
        <w:spacing w:line="500" w:lineRule="exact"/>
        <w:ind w:firstLine="562" w:firstLineChars="200"/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十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  <w:lang w:val="en-US" w:eastAsia="zh-CN"/>
        </w:rPr>
        <w:t>二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本办法由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教务处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组织实施，并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>负责解释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。</w:t>
      </w:r>
    </w:p>
    <w:p>
      <w:pPr>
        <w:adjustRightInd w:val="0"/>
        <w:spacing w:line="500" w:lineRule="exact"/>
        <w:ind w:firstLine="562" w:firstLineChars="200"/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十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  <w:lang w:val="en-US" w:eastAsia="zh-CN"/>
        </w:rPr>
        <w:t>三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如出现不在本办法认定范围内的教学事故由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  <w:lang w:val="en-US" w:eastAsia="zh-CN"/>
        </w:rPr>
        <w:t>教务处、人事处、事故责任人所在部门等</w:t>
      </w:r>
      <w:r>
        <w:rPr>
          <w:rFonts w:hint="eastAsia" w:cs="宋体" w:asciiTheme="minorEastAsia" w:hAnsiTheme="minorEastAsia" w:eastAsiaTheme="minorEastAsia"/>
          <w:bCs/>
          <w:color w:val="auto"/>
          <w:kern w:val="0"/>
          <w:sz w:val="28"/>
          <w:szCs w:val="28"/>
        </w:rPr>
        <w:t>进行认定。本办法若与其它规章制度发生冲突的，以本办法为准。</w:t>
      </w:r>
    </w:p>
    <w:p>
      <w:pPr>
        <w:adjustRightInd w:val="0"/>
        <w:spacing w:line="500" w:lineRule="exact"/>
        <w:ind w:left="425" w:firstLine="200"/>
        <w:rPr>
          <w:rFonts w:cs="宋体" w:asciiTheme="minorEastAsia" w:hAnsiTheme="minorEastAsia" w:eastAsiaTheme="minorEastAsia"/>
          <w:b/>
          <w:color w:val="auto"/>
          <w:spacing w:val="15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第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十</w:t>
      </w:r>
      <w:r>
        <w:rPr>
          <w:rFonts w:hint="eastAsia" w:cs="宋体" w:asciiTheme="minorEastAsia" w:hAnsiTheme="minorEastAsia" w:eastAsiaTheme="minorEastAsia"/>
          <w:b/>
          <w:bCs/>
          <w:color w:val="auto"/>
          <w:kern w:val="0"/>
          <w:sz w:val="28"/>
          <w:szCs w:val="28"/>
          <w:lang w:val="en-US" w:eastAsia="zh-CN"/>
        </w:rPr>
        <w:t>四</w:t>
      </w:r>
      <w:r>
        <w:rPr>
          <w:rFonts w:cs="宋体" w:asciiTheme="minorEastAsia" w:hAnsiTheme="minorEastAsia" w:eastAsiaTheme="minorEastAsia"/>
          <w:b/>
          <w:bCs/>
          <w:color w:val="auto"/>
          <w:kern w:val="0"/>
          <w:sz w:val="28"/>
          <w:szCs w:val="28"/>
        </w:rPr>
        <w:t>条</w:t>
      </w:r>
      <w:r>
        <w:rPr>
          <w:rFonts w:cs="宋体" w:asciiTheme="minorEastAsia" w:hAnsiTheme="minorEastAsia" w:eastAsiaTheme="minorEastAsia"/>
          <w:color w:val="auto"/>
          <w:kern w:val="0"/>
          <w:sz w:val="28"/>
          <w:szCs w:val="28"/>
        </w:rPr>
        <w:t xml:space="preserve">  本办法自公布之日起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执行,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原有相关规定同时废止</w:t>
      </w:r>
      <w:r>
        <w:rPr>
          <w:rFonts w:hint="eastAsia" w:cs="宋体" w:asciiTheme="minorEastAsia" w:hAnsiTheme="minorEastAsia" w:eastAsiaTheme="minorEastAsia"/>
          <w:color w:val="auto"/>
          <w:kern w:val="0"/>
          <w:sz w:val="28"/>
          <w:szCs w:val="28"/>
        </w:rPr>
        <w:t>。</w:t>
      </w:r>
    </w:p>
    <w:p>
      <w:pPr>
        <w:spacing w:line="360" w:lineRule="exact"/>
        <w:jc w:val="center"/>
        <w:rPr>
          <w:rFonts w:ascii="宋体" w:hAnsi="宋体" w:cs="宋体"/>
          <w:b/>
          <w:color w:val="auto"/>
          <w:spacing w:val="15"/>
          <w:kern w:val="0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宋体" w:hAnsi="宋体"/>
          <w:sz w:val="28"/>
          <w:szCs w:val="28"/>
          <w:u w:val="none"/>
          <w:lang w:val="en-US" w:eastAsia="zh-CN"/>
        </w:rPr>
      </w:pPr>
      <w:bookmarkStart w:id="0" w:name="_GoBack"/>
      <w:bookmarkEnd w:id="0"/>
      <w:r>
        <w:rPr>
          <w:rFonts w:hint="eastAsia" w:ascii="宋体" w:hAnsi="宋体"/>
          <w:sz w:val="28"/>
          <w:szCs w:val="28"/>
          <w:u w:val="none"/>
          <w:lang w:val="en-US" w:eastAsia="zh-CN"/>
        </w:rPr>
        <w:t>附件1：张家口职业技术学院教学事故调查认定处理表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宋体" w:hAnsi="宋体"/>
          <w:sz w:val="28"/>
          <w:szCs w:val="28"/>
          <w:u w:val="none"/>
          <w:lang w:val="en-US" w:eastAsia="zh-CN"/>
        </w:rPr>
      </w:pPr>
      <w:r>
        <w:rPr>
          <w:rFonts w:hint="eastAsia" w:ascii="宋体" w:hAnsi="宋体"/>
          <w:sz w:val="28"/>
          <w:szCs w:val="28"/>
          <w:u w:val="none"/>
          <w:lang w:val="en-US" w:eastAsia="zh-CN"/>
        </w:rPr>
        <w:t>附件2：张家口职业技术学院教学事故通知单</w:t>
      </w:r>
    </w:p>
    <w:p>
      <w:pPr>
        <w:spacing w:line="360" w:lineRule="exact"/>
        <w:jc w:val="center"/>
        <w:rPr>
          <w:rFonts w:hint="eastAsia" w:ascii="宋体" w:hAnsi="宋体" w:cs="宋体"/>
          <w:b w:val="0"/>
          <w:bCs/>
          <w:color w:val="auto"/>
          <w:spacing w:val="15"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5307" w:leftChars="2527" w:firstLine="0" w:firstLineChars="0"/>
        <w:jc w:val="left"/>
        <w:textAlignment w:val="auto"/>
        <w:rPr>
          <w:rFonts w:hint="eastAsia" w:ascii="宋体" w:hAnsi="宋体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5307" w:leftChars="2527" w:firstLine="0" w:firstLineChars="0"/>
        <w:jc w:val="left"/>
        <w:textAlignment w:val="auto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张家口职业技术学院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                            </w:t>
      </w:r>
      <w:r>
        <w:rPr>
          <w:rFonts w:hint="eastAsia" w:ascii="宋体" w:hAnsi="宋体"/>
          <w:sz w:val="28"/>
          <w:szCs w:val="28"/>
          <w:lang w:val="en-US" w:eastAsia="zh-CN"/>
        </w:rPr>
        <w:t xml:space="preserve">          </w:t>
      </w:r>
      <w:r>
        <w:rPr>
          <w:rFonts w:hint="eastAsia" w:ascii="宋体" w:hAnsi="宋体"/>
          <w:sz w:val="28"/>
          <w:szCs w:val="28"/>
        </w:rPr>
        <w:t xml:space="preserve"> </w:t>
      </w:r>
      <w:r>
        <w:rPr>
          <w:rFonts w:ascii="宋体" w:hAnsi="宋体"/>
          <w:sz w:val="28"/>
          <w:szCs w:val="28"/>
        </w:rPr>
        <w:t>201</w:t>
      </w:r>
      <w:r>
        <w:rPr>
          <w:rFonts w:hint="eastAsia" w:ascii="宋体" w:hAnsi="宋体"/>
          <w:sz w:val="28"/>
          <w:szCs w:val="28"/>
          <w:lang w:val="en-US" w:eastAsia="zh-CN"/>
        </w:rPr>
        <w:t>9</w:t>
      </w:r>
      <w:r>
        <w:rPr>
          <w:rFonts w:ascii="宋体" w:hAnsi="宋体"/>
          <w:sz w:val="28"/>
          <w:szCs w:val="28"/>
        </w:rPr>
        <w:t>年</w:t>
      </w:r>
      <w:r>
        <w:rPr>
          <w:rFonts w:hint="eastAsia" w:ascii="宋体" w:hAnsi="宋体"/>
          <w:sz w:val="28"/>
          <w:szCs w:val="28"/>
          <w:lang w:val="en-US" w:eastAsia="zh-CN"/>
        </w:rPr>
        <w:t>5</w:t>
      </w:r>
      <w:r>
        <w:rPr>
          <w:rFonts w:ascii="宋体" w:hAnsi="宋体"/>
          <w:sz w:val="28"/>
          <w:szCs w:val="28"/>
        </w:rPr>
        <w:t>月2</w:t>
      </w:r>
      <w:r>
        <w:rPr>
          <w:rFonts w:hint="eastAsia" w:ascii="宋体" w:hAnsi="宋体"/>
          <w:sz w:val="28"/>
          <w:szCs w:val="28"/>
          <w:lang w:val="en-US" w:eastAsia="zh-CN"/>
        </w:rPr>
        <w:t>5</w:t>
      </w:r>
      <w:r>
        <w:rPr>
          <w:rFonts w:ascii="宋体" w:hAnsi="宋体"/>
          <w:sz w:val="28"/>
          <w:szCs w:val="28"/>
        </w:rPr>
        <w:t>日</w:t>
      </w:r>
    </w:p>
    <w:p>
      <w:pPr>
        <w:spacing w:line="360" w:lineRule="exact"/>
        <w:jc w:val="center"/>
        <w:rPr>
          <w:rFonts w:hint="eastAsia" w:ascii="宋体" w:hAnsi="宋体" w:cs="宋体"/>
          <w:b w:val="0"/>
          <w:bCs/>
          <w:color w:val="auto"/>
          <w:spacing w:val="15"/>
          <w:kern w:val="0"/>
          <w:sz w:val="24"/>
          <w:szCs w:val="24"/>
        </w:rPr>
        <w:sectPr>
          <w:footerReference r:id="rId3" w:type="default"/>
          <w:pgSz w:w="11906" w:h="16838"/>
          <w:pgMar w:top="1440" w:right="1797" w:bottom="1440" w:left="1797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360" w:lineRule="exact"/>
        <w:jc w:val="left"/>
        <w:rPr>
          <w:rFonts w:hint="default" w:ascii="宋体" w:hAnsi="宋体" w:eastAsia="宋体" w:cs="宋体"/>
          <w:b w:val="0"/>
          <w:bCs/>
          <w:color w:val="auto"/>
          <w:spacing w:val="15"/>
          <w:kern w:val="0"/>
          <w:sz w:val="30"/>
          <w:szCs w:val="30"/>
          <w:lang w:val="en-US" w:eastAsia="zh-CN"/>
        </w:rPr>
      </w:pPr>
      <w:r>
        <w:rPr>
          <w:rFonts w:hint="eastAsia" w:ascii="宋体" w:hAnsi="宋体" w:cs="宋体"/>
          <w:b w:val="0"/>
          <w:bCs/>
          <w:color w:val="auto"/>
          <w:spacing w:val="15"/>
          <w:kern w:val="0"/>
          <w:sz w:val="30"/>
          <w:szCs w:val="30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exact"/>
        <w:jc w:val="center"/>
        <w:textAlignment w:val="auto"/>
        <w:rPr>
          <w:rFonts w:ascii="宋体" w:hAnsi="宋体" w:cs="宋体"/>
          <w:b/>
          <w:color w:val="auto"/>
          <w:spacing w:val="15"/>
          <w:kern w:val="0"/>
          <w:sz w:val="36"/>
          <w:szCs w:val="36"/>
        </w:rPr>
      </w:pPr>
      <w:r>
        <w:rPr>
          <w:rFonts w:hint="eastAsia" w:ascii="宋体" w:hAnsi="宋体" w:cs="宋体"/>
          <w:b/>
          <w:color w:val="auto"/>
          <w:spacing w:val="15"/>
          <w:kern w:val="0"/>
          <w:sz w:val="36"/>
          <w:szCs w:val="36"/>
        </w:rPr>
        <w:t>张家口职业技术学院教学事故调查认定处理表</w:t>
      </w:r>
    </w:p>
    <w:p>
      <w:pPr>
        <w:wordWrap w:val="0"/>
        <w:spacing w:line="360" w:lineRule="exact"/>
        <w:ind w:firstLine="266" w:firstLineChars="98"/>
        <w:jc w:val="right"/>
        <w:rPr>
          <w:rFonts w:hint="default" w:ascii="宋体" w:hAnsi="宋体" w:eastAsia="宋体" w:cs="宋体"/>
          <w:b/>
          <w:color w:val="auto"/>
          <w:spacing w:val="15"/>
          <w:kern w:val="0"/>
          <w:sz w:val="24"/>
          <w:lang w:val="en-US" w:eastAsia="zh-CN"/>
        </w:rPr>
      </w:pPr>
      <w:r>
        <w:rPr>
          <w:rFonts w:ascii="宋体" w:hAnsi="宋体" w:cs="宋体"/>
          <w:b/>
          <w:color w:val="auto"/>
          <w:spacing w:val="15"/>
          <w:kern w:val="0"/>
          <w:sz w:val="24"/>
        </w:rPr>
        <w:t>编号：</w:t>
      </w:r>
      <w:r>
        <w:rPr>
          <w:rFonts w:hint="eastAsia" w:ascii="宋体" w:hAnsi="宋体" w:cs="宋体"/>
          <w:b/>
          <w:color w:val="auto"/>
          <w:spacing w:val="15"/>
          <w:kern w:val="0"/>
          <w:sz w:val="24"/>
          <w:lang w:val="en-US" w:eastAsia="zh-CN"/>
        </w:rPr>
        <w:t xml:space="preserve">     </w:t>
      </w:r>
    </w:p>
    <w:tbl>
      <w:tblPr>
        <w:tblStyle w:val="5"/>
        <w:tblW w:w="8835" w:type="dxa"/>
        <w:jc w:val="center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5"/>
        <w:gridCol w:w="945"/>
        <w:gridCol w:w="1365"/>
        <w:gridCol w:w="1260"/>
        <w:gridCol w:w="1680"/>
        <w:gridCol w:w="1155"/>
        <w:gridCol w:w="148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tblCellSpacing w:w="0" w:type="dxa"/>
          <w:jc w:val="center"/>
        </w:trPr>
        <w:tc>
          <w:tcPr>
            <w:tcW w:w="189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事故责任人姓名</w:t>
            </w:r>
          </w:p>
        </w:tc>
        <w:tc>
          <w:tcPr>
            <w:tcW w:w="13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 </w:t>
            </w:r>
          </w:p>
        </w:tc>
        <w:tc>
          <w:tcPr>
            <w:tcW w:w="12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所属部门</w:t>
            </w:r>
          </w:p>
        </w:tc>
        <w:tc>
          <w:tcPr>
            <w:tcW w:w="16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 </w:t>
            </w:r>
          </w:p>
        </w:tc>
        <w:tc>
          <w:tcPr>
            <w:tcW w:w="11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调查日期</w:t>
            </w:r>
          </w:p>
        </w:tc>
        <w:tc>
          <w:tcPr>
            <w:tcW w:w="1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0" w:hRule="atLeast"/>
          <w:tblCellSpacing w:w="0" w:type="dxa"/>
          <w:jc w:val="center"/>
        </w:trPr>
        <w:tc>
          <w:tcPr>
            <w:tcW w:w="94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事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故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调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查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内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容</w:t>
            </w:r>
          </w:p>
        </w:tc>
        <w:tc>
          <w:tcPr>
            <w:tcW w:w="7890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事故发生的时间、地点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66" w:hRule="atLeast"/>
          <w:tblCellSpacing w:w="0" w:type="dxa"/>
          <w:jc w:val="center"/>
        </w:trPr>
        <w:tc>
          <w:tcPr>
            <w:tcW w:w="94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7890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line="36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事故发生简要经过及引起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的</w: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t>后果、影响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94" w:hRule="atLeast"/>
          <w:tblCellSpacing w:w="0" w:type="dxa"/>
          <w:jc w:val="center"/>
        </w:trPr>
        <w:tc>
          <w:tcPr>
            <w:tcW w:w="94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7890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spacing w:line="36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引发事故的原因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0" w:hRule="atLeast"/>
          <w:tblCellSpacing w:w="0" w:type="dxa"/>
          <w:jc w:val="center"/>
        </w:trPr>
        <w:tc>
          <w:tcPr>
            <w:tcW w:w="9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教学部门调查认定处理意见</w:t>
            </w:r>
          </w:p>
        </w:tc>
        <w:tc>
          <w:tcPr>
            <w:tcW w:w="7890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 </w:t>
            </w:r>
          </w:p>
          <w:p>
            <w:pPr>
              <w:spacing w:line="360" w:lineRule="exac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 </w:t>
            </w:r>
          </w:p>
          <w:p>
            <w:pPr>
              <w:spacing w:line="360" w:lineRule="exac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spacing w:line="360" w:lineRule="exact"/>
              <w:ind w:firstLine="5280" w:firstLineChars="220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负责人签字：</w:t>
            </w:r>
          </w:p>
          <w:p>
            <w:pPr>
              <w:spacing w:line="360" w:lineRule="exact"/>
              <w:ind w:firstLine="5760" w:firstLineChars="240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年   月   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教学主管部门认定处理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意见</w:t>
            </w:r>
          </w:p>
        </w:tc>
        <w:tc>
          <w:tcPr>
            <w:tcW w:w="7890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 </w:t>
            </w:r>
          </w:p>
          <w:p>
            <w:pPr>
              <w:spacing w:line="360" w:lineRule="exact"/>
              <w:ind w:firstLine="5760" w:firstLineChars="2400"/>
              <w:jc w:val="righ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spacing w:line="360" w:lineRule="exact"/>
              <w:ind w:firstLine="5760" w:firstLineChars="2400"/>
              <w:jc w:val="righ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spacing w:line="360" w:lineRule="exact"/>
              <w:ind w:firstLine="5280" w:firstLineChars="2200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负责人签字：</w:t>
            </w:r>
          </w:p>
          <w:p>
            <w:pPr>
              <w:wordWrap w:val="0"/>
              <w:spacing w:line="360" w:lineRule="exact"/>
              <w:ind w:firstLine="5760" w:firstLineChars="2400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年   月   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主管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t>长审批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意 见</w:t>
            </w:r>
          </w:p>
        </w:tc>
        <w:tc>
          <w:tcPr>
            <w:tcW w:w="7890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 </w:t>
            </w:r>
          </w:p>
          <w:p>
            <w:pPr>
              <w:wordWrap w:val="0"/>
              <w:spacing w:line="360" w:lineRule="exact"/>
              <w:ind w:firstLine="5280" w:firstLineChars="2200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                负责人签字：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 xml:space="preserve">          </w:t>
            </w:r>
          </w:p>
          <w:p>
            <w:pPr>
              <w:wordWrap w:val="0"/>
              <w:spacing w:line="360" w:lineRule="exact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年   月   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 xml:space="preserve"> </w:t>
            </w:r>
          </w:p>
        </w:tc>
      </w:tr>
    </w:tbl>
    <w:p>
      <w:pPr>
        <w:spacing w:line="360" w:lineRule="exact"/>
        <w:ind w:left="1214" w:leftChars="64" w:hanging="1080" w:hangingChars="400"/>
        <w:jc w:val="left"/>
        <w:rPr>
          <w:rFonts w:ascii="楷体_GB2312" w:hAnsi="宋体" w:eastAsia="楷体_GB2312" w:cs="宋体"/>
          <w:color w:val="auto"/>
          <w:spacing w:val="15"/>
          <w:kern w:val="0"/>
          <w:sz w:val="24"/>
        </w:rPr>
      </w:pPr>
      <w:r>
        <w:rPr>
          <w:rFonts w:hint="eastAsia" w:ascii="楷体_GB2312" w:hAnsi="宋体" w:eastAsia="楷体_GB2312" w:cs="宋体"/>
          <w:color w:val="auto"/>
          <w:spacing w:val="15"/>
          <w:kern w:val="0"/>
          <w:sz w:val="24"/>
        </w:rPr>
        <w:t>说明：1.相关部门负责人接到本表后，在三日内作出调查处理，并将此表交回教务处。</w:t>
      </w:r>
    </w:p>
    <w:p>
      <w:pPr>
        <w:spacing w:line="360" w:lineRule="exact"/>
        <w:ind w:firstLine="945" w:firstLineChars="350"/>
        <w:jc w:val="left"/>
        <w:rPr>
          <w:color w:val="auto"/>
        </w:rPr>
      </w:pPr>
      <w:r>
        <w:rPr>
          <w:rFonts w:hint="eastAsia" w:ascii="楷体_GB2312" w:hAnsi="宋体" w:eastAsia="楷体_GB2312" w:cs="宋体"/>
          <w:color w:val="auto"/>
          <w:spacing w:val="15"/>
          <w:kern w:val="0"/>
          <w:sz w:val="24"/>
        </w:rPr>
        <w:t>2.附事故责任人、当事人的相关书面材料。</w:t>
      </w:r>
    </w:p>
    <w:p>
      <w:pPr>
        <w:spacing w:line="360" w:lineRule="exact"/>
        <w:jc w:val="center"/>
        <w:rPr>
          <w:rFonts w:ascii="宋体" w:hAnsi="宋体" w:cs="宋体"/>
          <w:b/>
          <w:color w:val="auto"/>
          <w:spacing w:val="15"/>
          <w:kern w:val="0"/>
          <w:sz w:val="30"/>
          <w:szCs w:val="30"/>
        </w:rPr>
        <w:sectPr>
          <w:footerReference r:id="rId4" w:type="default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360" w:lineRule="exact"/>
        <w:jc w:val="left"/>
        <w:rPr>
          <w:rFonts w:hint="eastAsia" w:ascii="宋体" w:hAnsi="宋体" w:cs="宋体"/>
          <w:b/>
          <w:color w:val="auto"/>
          <w:spacing w:val="15"/>
          <w:kern w:val="0"/>
          <w:sz w:val="30"/>
          <w:szCs w:val="30"/>
        </w:rPr>
      </w:pPr>
      <w:r>
        <w:rPr>
          <w:rFonts w:hint="eastAsia" w:ascii="宋体" w:hAnsi="宋体" w:cs="宋体"/>
          <w:b w:val="0"/>
          <w:bCs/>
          <w:color w:val="auto"/>
          <w:spacing w:val="15"/>
          <w:kern w:val="0"/>
          <w:sz w:val="30"/>
          <w:szCs w:val="30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exact"/>
        <w:jc w:val="center"/>
        <w:textAlignment w:val="auto"/>
        <w:rPr>
          <w:rFonts w:ascii="宋体" w:hAnsi="宋体" w:cs="宋体"/>
          <w:b/>
          <w:color w:val="auto"/>
          <w:spacing w:val="15"/>
          <w:kern w:val="0"/>
          <w:sz w:val="36"/>
          <w:szCs w:val="36"/>
        </w:rPr>
      </w:pPr>
      <w:r>
        <w:rPr>
          <w:rFonts w:hint="eastAsia" w:ascii="宋体" w:hAnsi="宋体" w:cs="宋体"/>
          <w:b/>
          <w:color w:val="auto"/>
          <w:spacing w:val="15"/>
          <w:kern w:val="0"/>
          <w:sz w:val="36"/>
          <w:szCs w:val="36"/>
        </w:rPr>
        <w:t>张家口职业技术学院教学事故通知单</w:t>
      </w:r>
    </w:p>
    <w:p>
      <w:pPr>
        <w:spacing w:line="360" w:lineRule="exact"/>
        <w:ind w:firstLine="542" w:firstLineChars="200"/>
        <w:jc w:val="center"/>
        <w:rPr>
          <w:rFonts w:ascii="宋体" w:hAnsi="宋体" w:cs="宋体"/>
          <w:b/>
          <w:color w:val="auto"/>
          <w:spacing w:val="15"/>
          <w:kern w:val="0"/>
          <w:sz w:val="24"/>
        </w:rPr>
      </w:pPr>
      <w:r>
        <w:rPr>
          <w:rFonts w:ascii="宋体" w:hAnsi="宋体" w:cs="宋体"/>
          <w:b/>
          <w:color w:val="auto"/>
          <w:spacing w:val="15"/>
          <w:kern w:val="0"/>
          <w:sz w:val="24"/>
        </w:rPr>
        <w:t>                            </w:t>
      </w:r>
    </w:p>
    <w:p>
      <w:pPr>
        <w:spacing w:line="360" w:lineRule="exact"/>
        <w:ind w:firstLine="542" w:firstLineChars="200"/>
        <w:jc w:val="center"/>
        <w:rPr>
          <w:rFonts w:ascii="宋体" w:hAnsi="宋体" w:cs="宋体"/>
          <w:b/>
          <w:color w:val="auto"/>
          <w:spacing w:val="15"/>
          <w:kern w:val="0"/>
          <w:sz w:val="24"/>
        </w:rPr>
      </w:pPr>
      <w:r>
        <w:rPr>
          <w:rFonts w:hint="eastAsia" w:ascii="宋体" w:hAnsi="宋体" w:cs="宋体"/>
          <w:b/>
          <w:color w:val="auto"/>
          <w:spacing w:val="15"/>
          <w:kern w:val="0"/>
          <w:sz w:val="24"/>
        </w:rPr>
        <w:t xml:space="preserve">                                </w:t>
      </w:r>
      <w:r>
        <w:rPr>
          <w:rFonts w:ascii="宋体" w:hAnsi="宋体" w:cs="宋体"/>
          <w:b/>
          <w:color w:val="auto"/>
          <w:spacing w:val="15"/>
          <w:kern w:val="0"/>
          <w:sz w:val="24"/>
        </w:rPr>
        <w:t>编号：</w:t>
      </w:r>
    </w:p>
    <w:p>
      <w:pPr>
        <w:spacing w:line="360" w:lineRule="exact"/>
        <w:ind w:left="-178" w:leftChars="-85"/>
        <w:jc w:val="left"/>
        <w:rPr>
          <w:rFonts w:ascii="宋体" w:hAnsi="宋体" w:cs="宋体"/>
          <w:color w:val="auto"/>
          <w:spacing w:val="15"/>
          <w:kern w:val="0"/>
          <w:sz w:val="24"/>
          <w:u w:val="single"/>
        </w:rPr>
      </w:pPr>
    </w:p>
    <w:p>
      <w:pPr>
        <w:spacing w:line="360" w:lineRule="exact"/>
        <w:ind w:left="-178" w:leftChars="-85"/>
        <w:jc w:val="left"/>
        <w:rPr>
          <w:rFonts w:ascii="宋体" w:hAnsi="宋体" w:cs="宋体"/>
          <w:color w:val="auto"/>
          <w:spacing w:val="15"/>
          <w:kern w:val="0"/>
          <w:sz w:val="24"/>
          <w:u w:val="single"/>
        </w:rPr>
      </w:pPr>
    </w:p>
    <w:p>
      <w:pPr>
        <w:spacing w:line="360" w:lineRule="auto"/>
        <w:ind w:firstLine="135" w:firstLineChars="50"/>
        <w:jc w:val="left"/>
        <w:rPr>
          <w:rFonts w:ascii="宋体" w:hAnsi="宋体" w:cs="宋体"/>
          <w:color w:val="auto"/>
          <w:spacing w:val="15"/>
          <w:kern w:val="0"/>
          <w:sz w:val="24"/>
        </w:rPr>
      </w:pPr>
      <w:r>
        <w:rPr>
          <w:rFonts w:ascii="宋体" w:hAnsi="宋体" w:cs="宋体"/>
          <w:color w:val="auto"/>
          <w:spacing w:val="15"/>
          <w:kern w:val="0"/>
          <w:sz w:val="24"/>
          <w:u w:val="single"/>
        </w:rPr>
        <w:t xml:space="preserve">       </w:t>
      </w:r>
      <w:r>
        <w:rPr>
          <w:rFonts w:ascii="宋体" w:hAnsi="宋体" w:cs="宋体"/>
          <w:color w:val="auto"/>
          <w:spacing w:val="15"/>
          <w:kern w:val="0"/>
          <w:sz w:val="24"/>
        </w:rPr>
        <w:t>系</w:t>
      </w:r>
      <w:r>
        <w:rPr>
          <w:rFonts w:hint="eastAsia" w:ascii="宋体" w:hAnsi="宋体" w:cs="宋体"/>
          <w:color w:val="auto"/>
          <w:spacing w:val="15"/>
          <w:kern w:val="0"/>
          <w:sz w:val="24"/>
          <w:lang w:val="en-US" w:eastAsia="zh-CN"/>
        </w:rPr>
        <w:t>/</w:t>
      </w:r>
      <w:r>
        <w:rPr>
          <w:rFonts w:ascii="宋体" w:hAnsi="宋体" w:cs="宋体"/>
          <w:color w:val="auto"/>
          <w:spacing w:val="15"/>
          <w:kern w:val="0"/>
          <w:sz w:val="24"/>
        </w:rPr>
        <w:t>部</w:t>
      </w:r>
      <w:r>
        <w:rPr>
          <w:rFonts w:hint="eastAsia" w:ascii="宋体" w:hAnsi="宋体" w:cs="宋体"/>
          <w:color w:val="auto"/>
          <w:spacing w:val="15"/>
          <w:kern w:val="0"/>
          <w:sz w:val="24"/>
          <w:lang w:val="en-US" w:eastAsia="zh-CN"/>
        </w:rPr>
        <w:t>/</w:t>
      </w:r>
      <w:r>
        <w:rPr>
          <w:rFonts w:ascii="宋体" w:hAnsi="宋体" w:cs="宋体"/>
          <w:color w:val="auto"/>
          <w:spacing w:val="15"/>
          <w:kern w:val="0"/>
          <w:sz w:val="24"/>
        </w:rPr>
        <w:t>处</w:t>
      </w:r>
      <w:r>
        <w:rPr>
          <w:rFonts w:hint="eastAsia" w:ascii="宋体" w:hAnsi="宋体" w:cs="宋体"/>
          <w:color w:val="auto"/>
          <w:spacing w:val="15"/>
          <w:kern w:val="0"/>
          <w:sz w:val="24"/>
          <w:lang w:val="en-US" w:eastAsia="zh-CN"/>
        </w:rPr>
        <w:t xml:space="preserve"> </w:t>
      </w:r>
      <w:r>
        <w:rPr>
          <w:rFonts w:ascii="宋体" w:hAnsi="宋体" w:cs="宋体"/>
          <w:color w:val="auto"/>
          <w:spacing w:val="15"/>
          <w:kern w:val="0"/>
          <w:sz w:val="24"/>
          <w:u w:val="single"/>
        </w:rPr>
        <w:t>     </w:t>
      </w:r>
      <w:r>
        <w:rPr>
          <w:rFonts w:ascii="宋体" w:hAnsi="宋体" w:cs="宋体"/>
          <w:color w:val="auto"/>
          <w:spacing w:val="15"/>
          <w:kern w:val="0"/>
          <w:sz w:val="24"/>
        </w:rPr>
        <w:t>老师：</w:t>
      </w:r>
    </w:p>
    <w:p>
      <w:pPr>
        <w:spacing w:line="360" w:lineRule="auto"/>
        <w:ind w:firstLine="540" w:firstLineChars="200"/>
        <w:jc w:val="left"/>
        <w:rPr>
          <w:rFonts w:ascii="宋体" w:hAnsi="宋体" w:cs="宋体"/>
          <w:color w:val="auto"/>
          <w:spacing w:val="15"/>
          <w:kern w:val="0"/>
          <w:sz w:val="24"/>
        </w:rPr>
      </w:pPr>
      <w:r>
        <w:rPr>
          <w:rFonts w:ascii="宋体" w:hAnsi="宋体" w:cs="宋体"/>
          <w:color w:val="auto"/>
          <w:spacing w:val="15"/>
          <w:kern w:val="0"/>
          <w:sz w:val="24"/>
        </w:rPr>
        <w:t>您于20</w:t>
      </w:r>
      <w:r>
        <w:rPr>
          <w:rFonts w:hint="eastAsia" w:ascii="宋体" w:hAnsi="宋体" w:cs="宋体"/>
          <w:color w:val="auto"/>
          <w:spacing w:val="15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pacing w:val="15"/>
          <w:kern w:val="0"/>
          <w:sz w:val="24"/>
        </w:rPr>
        <w:t xml:space="preserve"> </w:t>
      </w:r>
      <w:r>
        <w:rPr>
          <w:rFonts w:ascii="宋体" w:hAnsi="宋体" w:cs="宋体"/>
          <w:color w:val="auto"/>
          <w:spacing w:val="15"/>
          <w:kern w:val="0"/>
          <w:sz w:val="24"/>
        </w:rPr>
        <w:t>年</w:t>
      </w:r>
      <w:r>
        <w:rPr>
          <w:rFonts w:hint="eastAsia" w:ascii="宋体" w:hAnsi="宋体" w:cs="宋体"/>
          <w:color w:val="auto"/>
          <w:spacing w:val="15"/>
          <w:kern w:val="0"/>
          <w:sz w:val="24"/>
        </w:rPr>
        <w:t xml:space="preserve"> </w:t>
      </w:r>
      <w:r>
        <w:rPr>
          <w:rFonts w:ascii="宋体" w:hAnsi="宋体" w:cs="宋体"/>
          <w:color w:val="auto"/>
          <w:spacing w:val="15"/>
          <w:kern w:val="0"/>
          <w:sz w:val="24"/>
        </w:rPr>
        <w:t>月</w:t>
      </w:r>
      <w:r>
        <w:rPr>
          <w:rFonts w:hint="eastAsia" w:ascii="宋体" w:hAnsi="宋体" w:cs="宋体"/>
          <w:color w:val="auto"/>
          <w:spacing w:val="15"/>
          <w:kern w:val="0"/>
          <w:sz w:val="24"/>
        </w:rPr>
        <w:t xml:space="preserve"> </w:t>
      </w:r>
      <w:r>
        <w:rPr>
          <w:rFonts w:ascii="宋体" w:hAnsi="宋体" w:cs="宋体"/>
          <w:color w:val="auto"/>
          <w:spacing w:val="15"/>
          <w:kern w:val="0"/>
          <w:sz w:val="24"/>
        </w:rPr>
        <w:t>日在</w:t>
      </w:r>
      <w:r>
        <w:rPr>
          <w:rFonts w:ascii="宋体" w:hAnsi="宋体" w:cs="宋体"/>
          <w:color w:val="auto"/>
          <w:spacing w:val="15"/>
          <w:kern w:val="0"/>
          <w:sz w:val="24"/>
          <w:u w:val="single"/>
        </w:rPr>
        <w:t>           </w:t>
      </w:r>
      <w:r>
        <w:rPr>
          <w:rFonts w:hint="eastAsia" w:ascii="宋体" w:hAnsi="宋体" w:cs="宋体"/>
          <w:color w:val="auto"/>
          <w:spacing w:val="15"/>
          <w:kern w:val="0"/>
          <w:sz w:val="24"/>
          <w:u w:val="single"/>
          <w:lang w:val="en-US" w:eastAsia="zh-CN"/>
        </w:rPr>
        <w:t xml:space="preserve">  </w:t>
      </w:r>
      <w:r>
        <w:rPr>
          <w:rFonts w:ascii="宋体" w:hAnsi="宋体" w:cs="宋体"/>
          <w:color w:val="auto"/>
          <w:spacing w:val="15"/>
          <w:kern w:val="0"/>
          <w:sz w:val="24"/>
          <w:u w:val="single"/>
        </w:rPr>
        <w:t xml:space="preserve">      </w:t>
      </w:r>
      <w:r>
        <w:rPr>
          <w:rFonts w:ascii="宋体" w:hAnsi="宋体" w:cs="宋体"/>
          <w:color w:val="auto"/>
          <w:spacing w:val="15"/>
          <w:kern w:val="0"/>
          <w:sz w:val="24"/>
        </w:rPr>
        <w:t>教学活动中，违反了《</w:t>
      </w:r>
      <w:r>
        <w:rPr>
          <w:rFonts w:hint="eastAsia" w:ascii="宋体" w:hAnsi="宋体" w:cs="宋体"/>
          <w:color w:val="auto"/>
          <w:spacing w:val="15"/>
          <w:kern w:val="0"/>
          <w:sz w:val="24"/>
        </w:rPr>
        <w:t>张家口职业技术学院</w:t>
      </w:r>
      <w:r>
        <w:rPr>
          <w:rFonts w:ascii="宋体" w:hAnsi="宋体" w:cs="宋体"/>
          <w:color w:val="auto"/>
          <w:spacing w:val="15"/>
          <w:kern w:val="0"/>
          <w:sz w:val="24"/>
        </w:rPr>
        <w:t>教学事故认定及处理</w:t>
      </w:r>
      <w:r>
        <w:rPr>
          <w:rFonts w:hint="eastAsia" w:ascii="宋体" w:hAnsi="宋体" w:cs="宋体"/>
          <w:color w:val="auto"/>
          <w:spacing w:val="15"/>
          <w:kern w:val="0"/>
          <w:sz w:val="24"/>
        </w:rPr>
        <w:t>暂行</w:t>
      </w:r>
      <w:r>
        <w:rPr>
          <w:rFonts w:ascii="宋体" w:hAnsi="宋体" w:cs="宋体"/>
          <w:color w:val="auto"/>
          <w:spacing w:val="15"/>
          <w:kern w:val="0"/>
          <w:sz w:val="24"/>
        </w:rPr>
        <w:t>办法》中的</w:t>
      </w:r>
      <w:r>
        <w:rPr>
          <w:rFonts w:ascii="宋体" w:hAnsi="宋体" w:cs="宋体"/>
          <w:color w:val="auto"/>
          <w:spacing w:val="15"/>
          <w:kern w:val="0"/>
          <w:sz w:val="24"/>
          <w:u w:val="single"/>
        </w:rPr>
        <w:t>         </w:t>
      </w:r>
      <w:r>
        <w:rPr>
          <w:rFonts w:hint="eastAsia" w:ascii="宋体" w:hAnsi="宋体" w:cs="宋体"/>
          <w:color w:val="auto"/>
          <w:spacing w:val="15"/>
          <w:kern w:val="0"/>
          <w:sz w:val="24"/>
          <w:u w:val="single"/>
        </w:rPr>
        <w:t xml:space="preserve">    </w:t>
      </w:r>
      <w:r>
        <w:rPr>
          <w:rFonts w:ascii="宋体" w:hAnsi="宋体" w:cs="宋体"/>
          <w:color w:val="auto"/>
          <w:spacing w:val="15"/>
          <w:kern w:val="0"/>
          <w:sz w:val="24"/>
          <w:u w:val="single"/>
        </w:rPr>
        <w:t>  </w:t>
      </w:r>
      <w:r>
        <w:rPr>
          <w:rFonts w:ascii="宋体" w:hAnsi="宋体" w:cs="宋体"/>
          <w:color w:val="auto"/>
          <w:spacing w:val="15"/>
          <w:kern w:val="0"/>
          <w:sz w:val="24"/>
        </w:rPr>
        <w:t>相关规定，经调查认定，属于</w:t>
      </w:r>
      <w:r>
        <w:rPr>
          <w:rFonts w:ascii="宋体" w:hAnsi="宋体" w:cs="宋体"/>
          <w:color w:val="auto"/>
          <w:spacing w:val="15"/>
          <w:kern w:val="0"/>
          <w:sz w:val="24"/>
          <w:u w:val="single"/>
        </w:rPr>
        <w:t xml:space="preserve">      </w:t>
      </w:r>
      <w:r>
        <w:rPr>
          <w:rFonts w:ascii="宋体" w:hAnsi="宋体" w:cs="宋体"/>
          <w:color w:val="auto"/>
          <w:spacing w:val="15"/>
          <w:kern w:val="0"/>
          <w:sz w:val="24"/>
        </w:rPr>
        <w:t>教学责任事故。</w:t>
      </w:r>
    </w:p>
    <w:p>
      <w:pPr>
        <w:spacing w:line="360" w:lineRule="auto"/>
        <w:ind w:firstLine="540" w:firstLineChars="200"/>
        <w:jc w:val="left"/>
        <w:rPr>
          <w:rFonts w:ascii="宋体" w:hAnsi="宋体" w:cs="宋体"/>
          <w:color w:val="auto"/>
          <w:spacing w:val="15"/>
          <w:kern w:val="0"/>
          <w:sz w:val="24"/>
        </w:rPr>
      </w:pPr>
      <w:r>
        <w:rPr>
          <w:rFonts w:ascii="宋体" w:hAnsi="宋体" w:cs="宋体"/>
          <w:color w:val="auto"/>
          <w:spacing w:val="15"/>
          <w:kern w:val="0"/>
          <w:sz w:val="24"/>
        </w:rPr>
        <w:t>特下发此通知单，望引以为戒，杜绝各类教学责任事故的再次发生！</w:t>
      </w:r>
    </w:p>
    <w:p>
      <w:pPr>
        <w:spacing w:line="360" w:lineRule="auto"/>
        <w:ind w:firstLine="540" w:firstLineChars="200"/>
        <w:jc w:val="left"/>
        <w:rPr>
          <w:rFonts w:ascii="宋体" w:hAnsi="宋体" w:cs="宋体"/>
          <w:color w:val="auto"/>
          <w:spacing w:val="15"/>
          <w:kern w:val="0"/>
          <w:sz w:val="24"/>
        </w:rPr>
      </w:pPr>
      <w:r>
        <w:rPr>
          <w:rFonts w:ascii="宋体" w:hAnsi="宋体" w:cs="宋体"/>
          <w:color w:val="auto"/>
          <w:spacing w:val="15"/>
          <w:kern w:val="0"/>
          <w:sz w:val="24"/>
        </w:rPr>
        <w:t> </w:t>
      </w:r>
    </w:p>
    <w:p>
      <w:pPr>
        <w:spacing w:line="360" w:lineRule="auto"/>
        <w:ind w:firstLine="540" w:firstLineChars="200"/>
        <w:jc w:val="left"/>
        <w:rPr>
          <w:rFonts w:ascii="宋体" w:hAnsi="宋体" w:cs="宋体"/>
          <w:color w:val="auto"/>
          <w:spacing w:val="15"/>
          <w:kern w:val="0"/>
          <w:sz w:val="24"/>
        </w:rPr>
      </w:pPr>
    </w:p>
    <w:p>
      <w:pPr>
        <w:spacing w:line="360" w:lineRule="auto"/>
        <w:ind w:firstLine="540" w:firstLineChars="200"/>
        <w:jc w:val="left"/>
        <w:rPr>
          <w:rFonts w:ascii="宋体" w:hAnsi="宋体" w:cs="宋体"/>
          <w:color w:val="auto"/>
          <w:spacing w:val="15"/>
          <w:kern w:val="0"/>
          <w:sz w:val="24"/>
        </w:rPr>
      </w:pPr>
    </w:p>
    <w:p>
      <w:pPr>
        <w:spacing w:line="360" w:lineRule="auto"/>
        <w:ind w:firstLine="540" w:firstLineChars="200"/>
        <w:jc w:val="left"/>
        <w:rPr>
          <w:rFonts w:ascii="宋体" w:hAnsi="宋体" w:cs="宋体"/>
          <w:color w:val="auto"/>
          <w:spacing w:val="15"/>
          <w:kern w:val="0"/>
          <w:sz w:val="24"/>
        </w:rPr>
      </w:pPr>
    </w:p>
    <w:p>
      <w:pPr>
        <w:spacing w:line="360" w:lineRule="auto"/>
        <w:ind w:firstLine="540" w:firstLineChars="200"/>
        <w:jc w:val="center"/>
        <w:rPr>
          <w:rFonts w:ascii="宋体" w:hAnsi="宋体" w:cs="宋体"/>
          <w:color w:val="auto"/>
          <w:spacing w:val="15"/>
          <w:kern w:val="0"/>
          <w:sz w:val="24"/>
        </w:rPr>
      </w:pPr>
      <w:r>
        <w:rPr>
          <w:rFonts w:ascii="宋体" w:hAnsi="宋体" w:cs="宋体"/>
          <w:color w:val="auto"/>
          <w:spacing w:val="15"/>
          <w:kern w:val="0"/>
          <w:sz w:val="24"/>
        </w:rPr>
        <w:t>              </w:t>
      </w:r>
      <w:r>
        <w:rPr>
          <w:rFonts w:hint="eastAsia" w:ascii="宋体" w:hAnsi="宋体" w:cs="宋体"/>
          <w:color w:val="auto"/>
          <w:spacing w:val="15"/>
          <w:kern w:val="0"/>
          <w:sz w:val="24"/>
          <w:lang w:val="en-US" w:eastAsia="zh-CN"/>
        </w:rPr>
        <w:t>张家口职业技术学院</w:t>
      </w:r>
      <w:r>
        <w:rPr>
          <w:rFonts w:hint="eastAsia" w:ascii="宋体" w:hAnsi="宋体" w:cs="宋体"/>
          <w:color w:val="auto"/>
          <w:spacing w:val="15"/>
          <w:kern w:val="0"/>
          <w:sz w:val="24"/>
        </w:rPr>
        <w:t>(签章)</w:t>
      </w:r>
    </w:p>
    <w:p>
      <w:pPr>
        <w:spacing w:line="360" w:lineRule="auto"/>
        <w:ind w:firstLine="1080" w:firstLineChars="400"/>
        <w:jc w:val="center"/>
        <w:rPr>
          <w:rFonts w:ascii="宋体" w:hAnsi="宋体" w:cs="宋体"/>
          <w:color w:val="auto"/>
          <w:spacing w:val="15"/>
          <w:kern w:val="0"/>
          <w:sz w:val="24"/>
        </w:rPr>
      </w:pPr>
      <w:r>
        <w:rPr>
          <w:rFonts w:ascii="宋体" w:hAnsi="宋体" w:cs="宋体"/>
          <w:color w:val="auto"/>
          <w:spacing w:val="15"/>
          <w:kern w:val="0"/>
          <w:sz w:val="24"/>
        </w:rPr>
        <w:t>           年   月   日</w:t>
      </w:r>
    </w:p>
    <w:p>
      <w:pPr>
        <w:spacing w:line="360" w:lineRule="auto"/>
        <w:jc w:val="left"/>
        <w:rPr>
          <w:rFonts w:ascii="宋体" w:hAnsi="宋体" w:cs="宋体"/>
          <w:b/>
          <w:color w:val="auto"/>
          <w:spacing w:val="15"/>
          <w:kern w:val="0"/>
          <w:sz w:val="24"/>
        </w:rPr>
      </w:pPr>
    </w:p>
    <w:p>
      <w:pPr>
        <w:spacing w:line="360" w:lineRule="exact"/>
        <w:jc w:val="left"/>
        <w:rPr>
          <w:rFonts w:ascii="宋体" w:hAnsi="宋体" w:cs="宋体"/>
          <w:b/>
          <w:color w:val="auto"/>
          <w:spacing w:val="15"/>
          <w:kern w:val="0"/>
          <w:sz w:val="24"/>
        </w:rPr>
      </w:pPr>
    </w:p>
    <w:p>
      <w:pPr>
        <w:spacing w:line="360" w:lineRule="exact"/>
        <w:jc w:val="left"/>
        <w:rPr>
          <w:rFonts w:ascii="宋体" w:hAnsi="宋体" w:cs="宋体"/>
          <w:b/>
          <w:color w:val="auto"/>
          <w:spacing w:val="15"/>
          <w:kern w:val="0"/>
          <w:sz w:val="24"/>
        </w:rPr>
      </w:pPr>
    </w:p>
    <w:p>
      <w:pPr>
        <w:spacing w:line="360" w:lineRule="exact"/>
        <w:jc w:val="left"/>
        <w:rPr>
          <w:rFonts w:ascii="宋体" w:hAnsi="宋体" w:cs="宋体"/>
          <w:color w:val="auto"/>
          <w:spacing w:val="15"/>
          <w:kern w:val="0"/>
          <w:sz w:val="24"/>
        </w:rPr>
      </w:pPr>
      <w:r>
        <w:rPr>
          <w:rFonts w:hint="eastAsia" w:ascii="宋体" w:hAnsi="宋体" w:cs="宋体"/>
          <w:color w:val="auto"/>
          <w:spacing w:val="15"/>
          <w:kern w:val="0"/>
          <w:sz w:val="24"/>
        </w:rPr>
        <w:t>注：</w:t>
      </w:r>
      <w:r>
        <w:rPr>
          <w:rFonts w:ascii="宋体" w:hAnsi="宋体" w:cs="宋体"/>
          <w:color w:val="auto"/>
          <w:spacing w:val="15"/>
          <w:kern w:val="0"/>
          <w:sz w:val="24"/>
        </w:rPr>
        <w:t>本单一式四份，教务处、人事处、</w:t>
      </w:r>
      <w:r>
        <w:rPr>
          <w:rFonts w:hint="eastAsia" w:ascii="宋体" w:hAnsi="宋体" w:cs="宋体"/>
          <w:color w:val="auto"/>
          <w:spacing w:val="15"/>
          <w:kern w:val="0"/>
          <w:sz w:val="24"/>
        </w:rPr>
        <w:t>责任人所在</w:t>
      </w:r>
      <w:r>
        <w:rPr>
          <w:rFonts w:ascii="宋体" w:hAnsi="宋体" w:cs="宋体"/>
          <w:color w:val="auto"/>
          <w:spacing w:val="15"/>
          <w:kern w:val="0"/>
          <w:sz w:val="24"/>
        </w:rPr>
        <w:t>部门及本人各执一份</w:t>
      </w:r>
    </w:p>
    <w:sectPr>
      <w:footerReference r:id="rId5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A3462C"/>
    <w:rsid w:val="000102C1"/>
    <w:rsid w:val="00025FC5"/>
    <w:rsid w:val="001172C2"/>
    <w:rsid w:val="0014107B"/>
    <w:rsid w:val="001627D0"/>
    <w:rsid w:val="002608C6"/>
    <w:rsid w:val="004C44DB"/>
    <w:rsid w:val="004F689A"/>
    <w:rsid w:val="00563EC1"/>
    <w:rsid w:val="006366D4"/>
    <w:rsid w:val="006859FD"/>
    <w:rsid w:val="006D79F1"/>
    <w:rsid w:val="00714C5E"/>
    <w:rsid w:val="00772BEA"/>
    <w:rsid w:val="008868A6"/>
    <w:rsid w:val="008D0318"/>
    <w:rsid w:val="00910881"/>
    <w:rsid w:val="00926EDB"/>
    <w:rsid w:val="00975B16"/>
    <w:rsid w:val="009906D1"/>
    <w:rsid w:val="009B2236"/>
    <w:rsid w:val="009D26B4"/>
    <w:rsid w:val="00A115D3"/>
    <w:rsid w:val="00A23157"/>
    <w:rsid w:val="00A763BC"/>
    <w:rsid w:val="00B17A6D"/>
    <w:rsid w:val="00B20513"/>
    <w:rsid w:val="00C211FF"/>
    <w:rsid w:val="00C71DF9"/>
    <w:rsid w:val="00CE4CD7"/>
    <w:rsid w:val="00D03675"/>
    <w:rsid w:val="00D305B2"/>
    <w:rsid w:val="00D87DAE"/>
    <w:rsid w:val="00E776FD"/>
    <w:rsid w:val="09986CC4"/>
    <w:rsid w:val="09F91696"/>
    <w:rsid w:val="0A8C033E"/>
    <w:rsid w:val="0DA033CE"/>
    <w:rsid w:val="0DB631F8"/>
    <w:rsid w:val="0DB83026"/>
    <w:rsid w:val="0DE87A56"/>
    <w:rsid w:val="13EF1691"/>
    <w:rsid w:val="17A772B6"/>
    <w:rsid w:val="19B877AE"/>
    <w:rsid w:val="1B9F1623"/>
    <w:rsid w:val="1BA3462C"/>
    <w:rsid w:val="1C012109"/>
    <w:rsid w:val="1CC97AD0"/>
    <w:rsid w:val="20D47DA7"/>
    <w:rsid w:val="25B1766A"/>
    <w:rsid w:val="2BDD6D2B"/>
    <w:rsid w:val="2C967ACE"/>
    <w:rsid w:val="34AF2DA7"/>
    <w:rsid w:val="3B1C0E8E"/>
    <w:rsid w:val="3C2F2FAB"/>
    <w:rsid w:val="3E491932"/>
    <w:rsid w:val="466002ED"/>
    <w:rsid w:val="48DD1C59"/>
    <w:rsid w:val="4BA9738E"/>
    <w:rsid w:val="4D622711"/>
    <w:rsid w:val="507C7261"/>
    <w:rsid w:val="518C1C08"/>
    <w:rsid w:val="53FF779D"/>
    <w:rsid w:val="5E047846"/>
    <w:rsid w:val="5E376E58"/>
    <w:rsid w:val="610954E1"/>
    <w:rsid w:val="631D1EF0"/>
    <w:rsid w:val="64A640C5"/>
    <w:rsid w:val="6C685DAA"/>
    <w:rsid w:val="6E6C426B"/>
    <w:rsid w:val="724C584C"/>
    <w:rsid w:val="7E7E41F9"/>
    <w:rsid w:val="7FCD2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379DE36-90C6-42DB-90B2-8A5F3169E4F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9</Pages>
  <Words>3799</Words>
  <Characters>651</Characters>
  <Lines>5</Lines>
  <Paragraphs>8</Paragraphs>
  <TotalTime>1</TotalTime>
  <ScaleCrop>false</ScaleCrop>
  <LinksUpToDate>false</LinksUpToDate>
  <CharactersWithSpaces>4442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2019-05-16T14:09:00Z</dcterms:created>
  <dc:creator>pjb</dc:creator>
  <cp:lastModifiedBy>Administrator</cp:lastModifiedBy>
  <dcterms:modified xsi:type="dcterms:W3CDTF">2019-06-06T06:36:56Z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